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162D02BE" w:rsidR="00F4751D" w:rsidRPr="00F21C08" w:rsidRDefault="00FB1CC9" w:rsidP="00F21C08">
      <w:pPr>
        <w:spacing w:line="480" w:lineRule="auto"/>
        <w:jc w:val="center"/>
        <w:rPr>
          <w:rFonts w:ascii="Georgia" w:hAnsi="Georgia"/>
          <w:b/>
          <w:sz w:val="22"/>
          <w:szCs w:val="22"/>
        </w:rPr>
      </w:pPr>
      <w:r w:rsidRPr="00FB1CC9">
        <w:rPr>
          <w:rFonts w:ascii="Georgia" w:hAnsi="Georgia"/>
          <w:b/>
          <w:sz w:val="22"/>
          <w:szCs w:val="22"/>
        </w:rPr>
        <w:t xml:space="preserve">SERVIZI DI MANUTENZIONE DEGLI IMPIANTI ANTINCENDIO NELL’AMBITO SISTEMA DINAMICO DI ACQUISIZIONE DELLA PUBBLICA AMMINISTRAZIONE PER LA FORNITURA DEI SERVIZI AGLI IMMOBILI IN USO, A QUALSIASI TITOLO, ALLE </w:t>
      </w:r>
      <w:r w:rsidRPr="00E63EB0">
        <w:rPr>
          <w:rFonts w:ascii="Georgia" w:hAnsi="Georgia"/>
          <w:b/>
          <w:sz w:val="22"/>
          <w:szCs w:val="22"/>
        </w:rPr>
        <w:t>PUBBLICHE AMMINISTRAZIONI</w:t>
      </w:r>
      <w:r w:rsidR="00F21C08" w:rsidRPr="00E63EB0">
        <w:rPr>
          <w:rFonts w:ascii="Georgia" w:hAnsi="Georgia"/>
          <w:b/>
          <w:sz w:val="22"/>
          <w:szCs w:val="22"/>
        </w:rPr>
        <w:t xml:space="preserve"> – CIG </w:t>
      </w:r>
      <w:r w:rsidR="00E63EB0" w:rsidRPr="00E63EB0">
        <w:rPr>
          <w:rFonts w:ascii="Georgia" w:hAnsi="Georgia"/>
          <w:b/>
          <w:sz w:val="22"/>
          <w:szCs w:val="22"/>
        </w:rPr>
        <w:t>A01856FFB9</w:t>
      </w:r>
      <w:r w:rsidR="00F21C08" w:rsidRPr="00E63EB0">
        <w:rPr>
          <w:rFonts w:ascii="Georgia" w:hAnsi="Georgia"/>
          <w:b/>
          <w:sz w:val="22"/>
          <w:szCs w:val="22"/>
        </w:rPr>
        <w:t>;</w:t>
      </w:r>
      <w:r w:rsidR="00F21C08" w:rsidRPr="00F21C08">
        <w:rPr>
          <w:rFonts w:ascii="Georgia" w:hAnsi="Georgia"/>
          <w:b/>
          <w:sz w:val="22"/>
          <w:szCs w:val="22"/>
        </w:rPr>
        <w:t xml:space="preserve"> </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w:t>
      </w:r>
      <w:proofErr w:type="spellStart"/>
      <w:r w:rsidR="00FB1CC9" w:rsidRPr="0060485B">
        <w:rPr>
          <w:sz w:val="24"/>
          <w:szCs w:val="24"/>
          <w:highlight w:val="yellow"/>
        </w:rPr>
        <w:t>All</w:t>
      </w:r>
      <w:proofErr w:type="spellEnd"/>
      <w:r w:rsidR="00FB1CC9" w:rsidRPr="0060485B">
        <w:rPr>
          <w:sz w:val="24"/>
          <w:szCs w:val="24"/>
          <w:highlight w:val="yellow"/>
        </w:rPr>
        <w:t>. “1”), al Documento Tecnico (</w:t>
      </w:r>
      <w:proofErr w:type="spellStart"/>
      <w:r w:rsidR="00FB1CC9" w:rsidRPr="0060485B">
        <w:rPr>
          <w:sz w:val="24"/>
          <w:szCs w:val="24"/>
          <w:highlight w:val="yellow"/>
        </w:rPr>
        <w:t>All</w:t>
      </w:r>
      <w:proofErr w:type="spellEnd"/>
      <w:r w:rsidR="00FB1CC9" w:rsidRPr="0060485B">
        <w:rPr>
          <w:sz w:val="24"/>
          <w:szCs w:val="24"/>
          <w:highlight w:val="yellow"/>
        </w:rPr>
        <w:t>. “2”), al</w:t>
      </w:r>
      <w:r w:rsidR="00FB1CC9">
        <w:rPr>
          <w:sz w:val="24"/>
          <w:szCs w:val="24"/>
          <w:highlight w:val="yellow"/>
        </w:rPr>
        <w:t xml:space="preserve"> </w:t>
      </w:r>
      <w:r w:rsidR="00FB1CC9" w:rsidRPr="0060485B">
        <w:rPr>
          <w:sz w:val="24"/>
          <w:szCs w:val="24"/>
          <w:highlight w:val="yellow"/>
        </w:rPr>
        <w:t>Capitolato Tecnico del Bando Istitutivo (</w:t>
      </w:r>
      <w:proofErr w:type="spellStart"/>
      <w:r w:rsidR="00FB1CC9" w:rsidRPr="0060485B">
        <w:rPr>
          <w:sz w:val="24"/>
          <w:szCs w:val="24"/>
          <w:highlight w:val="yellow"/>
        </w:rPr>
        <w:t>All</w:t>
      </w:r>
      <w:proofErr w:type="spellEnd"/>
      <w:r w:rsidR="00FB1CC9" w:rsidRPr="0060485B">
        <w:rPr>
          <w:sz w:val="24"/>
          <w:szCs w:val="24"/>
          <w:highlight w:val="yellow"/>
        </w:rPr>
        <w:t>. “3”), all’Offerta tecnica (</w:t>
      </w:r>
      <w:proofErr w:type="spellStart"/>
      <w:r w:rsidR="00FB1CC9" w:rsidRPr="0060485B">
        <w:rPr>
          <w:sz w:val="24"/>
          <w:szCs w:val="24"/>
          <w:highlight w:val="yellow"/>
        </w:rPr>
        <w:t>All</w:t>
      </w:r>
      <w:proofErr w:type="spellEnd"/>
      <w:r w:rsidR="00FB1CC9" w:rsidRPr="0060485B">
        <w:rPr>
          <w:sz w:val="24"/>
          <w:szCs w:val="24"/>
          <w:highlight w:val="yellow"/>
        </w:rPr>
        <w:t>. “4”) ed all’ Offerta economica (</w:t>
      </w:r>
      <w:proofErr w:type="spellStart"/>
      <w:r w:rsidR="00FB1CC9" w:rsidRPr="0060485B">
        <w:rPr>
          <w:sz w:val="24"/>
          <w:szCs w:val="24"/>
          <w:highlight w:val="yellow"/>
        </w:rPr>
        <w:t>All</w:t>
      </w:r>
      <w:proofErr w:type="spellEnd"/>
      <w:r w:rsidR="00FB1CC9" w:rsidRPr="0060485B">
        <w:rPr>
          <w:sz w:val="24"/>
          <w:szCs w:val="24"/>
          <w:highlight w:val="yellow"/>
        </w:rPr>
        <w:t>.</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“1”), al Documento Tecnico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“2”), al Capitolato Tecnico del Bando Istitutivo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“3”) e all’Offerta tecnica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r>
        <w:rPr>
          <w:highlight w:val="yellow"/>
        </w:rPr>
        <w:t xml:space="preserve"> </w:t>
      </w: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lastRenderedPageBreak/>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6B07D010"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25C5DC8B"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32AA752C"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505DE70F"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3D760EA1" w14:textId="77777777"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751C0AB4" w14:textId="4FD3A1E3" w:rsidR="00FB1CC9"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04F65D1B" w14:textId="39BDCD9B" w:rsidR="00FB1CC9" w:rsidRPr="0060485B" w:rsidRDefault="00FB1CC9" w:rsidP="00FB1CC9">
      <w:pPr>
        <w:numPr>
          <w:ilvl w:val="0"/>
          <w:numId w:val="3"/>
        </w:numPr>
        <w:spacing w:after="120" w:line="480" w:lineRule="atLeast"/>
        <w:ind w:right="340"/>
        <w:outlineLvl w:val="0"/>
        <w:rPr>
          <w:sz w:val="24"/>
          <w:highlight w:val="yellow"/>
        </w:rPr>
      </w:pPr>
      <w:proofErr w:type="spellStart"/>
      <w:r>
        <w:rPr>
          <w:sz w:val="24"/>
          <w:highlight w:val="yellow"/>
        </w:rPr>
        <w:t>All</w:t>
      </w:r>
      <w:proofErr w:type="spellEnd"/>
      <w:r>
        <w:rPr>
          <w:sz w:val="24"/>
          <w:highlight w:val="yellow"/>
        </w:rPr>
        <w:t>. 8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lastRenderedPageBreak/>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57</TotalTime>
  <Pages>9</Pages>
  <Words>2302</Words>
  <Characters>13862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11</cp:revision>
  <cp:lastPrinted>2018-06-14T08:33:00Z</cp:lastPrinted>
  <dcterms:created xsi:type="dcterms:W3CDTF">2023-05-05T14:27:00Z</dcterms:created>
  <dcterms:modified xsi:type="dcterms:W3CDTF">2023-10-04T10:08:00Z</dcterms:modified>
</cp:coreProperties>
</file>